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F1B9C" w14:textId="6E18474B" w:rsidR="00DE6200" w:rsidRPr="003429B0" w:rsidRDefault="00E91862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1862">
        <w:rPr>
          <w:b/>
          <w:sz w:val="24"/>
          <w:lang w:val="en-US" w:eastAsia="zh-TW"/>
        </w:rPr>
        <w:t>3GPP TSG-RAN WG2 Meeting #</w:t>
      </w:r>
      <w:r w:rsidR="00E44F0E" w:rsidRPr="00E91862">
        <w:rPr>
          <w:b/>
          <w:sz w:val="24"/>
          <w:lang w:val="en-US" w:eastAsia="zh-TW"/>
        </w:rPr>
        <w:t>10</w:t>
      </w:r>
      <w:r w:rsidR="00E44F0E">
        <w:rPr>
          <w:b/>
          <w:sz w:val="24"/>
          <w:lang w:val="en-US" w:eastAsia="zh-TW"/>
        </w:rPr>
        <w:t>8</w:t>
      </w:r>
      <w:r w:rsidRPr="00E91862">
        <w:rPr>
          <w:b/>
          <w:sz w:val="24"/>
          <w:lang w:val="en-US" w:eastAsia="zh-TW"/>
        </w:rPr>
        <w:tab/>
      </w:r>
      <w:r w:rsidR="00C972A1">
        <w:rPr>
          <w:b/>
          <w:sz w:val="24"/>
          <w:lang w:val="en-US" w:eastAsia="zh-TW"/>
        </w:rPr>
        <w:t>R2-1916039</w:t>
      </w:r>
      <w:bookmarkStart w:id="0" w:name="_GoBack"/>
      <w:bookmarkEnd w:id="0"/>
    </w:p>
    <w:p w14:paraId="6C631F03" w14:textId="171FEB6A" w:rsidR="00066510" w:rsidRDefault="00213C40" w:rsidP="00066510">
      <w:pPr>
        <w:pStyle w:val="CRCoverPage"/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Reno</w:t>
      </w:r>
      <w:r w:rsidR="00032E92" w:rsidRPr="008D47D7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USA</w:t>
      </w:r>
      <w:r w:rsidR="00032E92" w:rsidRPr="008D47D7">
        <w:rPr>
          <w:b/>
          <w:noProof/>
          <w:sz w:val="24"/>
          <w:lang w:eastAsia="zh-TW"/>
        </w:rPr>
        <w:t>, 1</w:t>
      </w:r>
      <w:r>
        <w:rPr>
          <w:b/>
          <w:noProof/>
          <w:sz w:val="24"/>
          <w:lang w:eastAsia="zh-TW"/>
        </w:rPr>
        <w:t>8</w:t>
      </w:r>
      <w:r w:rsidR="00032E92" w:rsidRPr="008D47D7">
        <w:rPr>
          <w:b/>
          <w:noProof/>
          <w:sz w:val="24"/>
          <w:lang w:eastAsia="zh-TW"/>
        </w:rPr>
        <w:t xml:space="preserve">th – </w:t>
      </w:r>
      <w:r>
        <w:rPr>
          <w:b/>
          <w:noProof/>
          <w:sz w:val="24"/>
          <w:lang w:eastAsia="zh-TW"/>
        </w:rPr>
        <w:t>22</w:t>
      </w:r>
      <w:r w:rsidR="00032E92" w:rsidRPr="008D47D7">
        <w:rPr>
          <w:b/>
          <w:noProof/>
          <w:sz w:val="24"/>
          <w:lang w:eastAsia="zh-TW"/>
        </w:rPr>
        <w:t xml:space="preserve">th </w:t>
      </w:r>
      <w:r>
        <w:rPr>
          <w:b/>
          <w:noProof/>
          <w:sz w:val="24"/>
          <w:lang w:eastAsia="zh-TW"/>
        </w:rPr>
        <w:t>November</w:t>
      </w:r>
      <w:r w:rsidR="00032E92" w:rsidRPr="008D47D7">
        <w:rPr>
          <w:b/>
          <w:noProof/>
          <w:sz w:val="24"/>
          <w:lang w:eastAsia="zh-TW"/>
        </w:rPr>
        <w:t xml:space="preserve"> 2019</w:t>
      </w:r>
      <w:r w:rsidR="00032E92"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 xml:space="preserve">    </w:t>
      </w:r>
      <w:r w:rsidR="00032E92" w:rsidRPr="00B109BA">
        <w:rPr>
          <w:b/>
          <w:i/>
          <w:sz w:val="24"/>
          <w:lang w:eastAsia="zh-TW"/>
        </w:rPr>
        <w:t xml:space="preserve"> </w:t>
      </w:r>
      <w:r w:rsidR="00032E92">
        <w:rPr>
          <w:b/>
          <w:i/>
          <w:sz w:val="24"/>
          <w:lang w:eastAsia="zh-TW"/>
        </w:rPr>
        <w:t xml:space="preserve">       </w:t>
      </w:r>
      <w:r w:rsidR="00585626">
        <w:rPr>
          <w:b/>
          <w:i/>
          <w:sz w:val="24"/>
          <w:lang w:eastAsia="zh-TW"/>
        </w:rPr>
        <w:t xml:space="preserve">      </w:t>
      </w:r>
      <w:r w:rsidR="001C7B9E">
        <w:rPr>
          <w:b/>
          <w:i/>
          <w:sz w:val="24"/>
          <w:lang w:eastAsia="zh-TW"/>
        </w:rPr>
        <w:t>R</w:t>
      </w:r>
      <w:r w:rsidR="001C7B9E" w:rsidRPr="002D334D">
        <w:rPr>
          <w:b/>
          <w:i/>
          <w:sz w:val="24"/>
          <w:lang w:eastAsia="zh-TW"/>
        </w:rPr>
        <w:t>e</w:t>
      </w:r>
      <w:r w:rsidR="001C7B9E">
        <w:rPr>
          <w:b/>
          <w:i/>
          <w:sz w:val="24"/>
          <w:lang w:eastAsia="zh-TW"/>
        </w:rPr>
        <w:t>vision</w:t>
      </w:r>
      <w:r w:rsidR="001C7B9E" w:rsidRPr="002D334D">
        <w:rPr>
          <w:b/>
          <w:i/>
          <w:sz w:val="24"/>
          <w:lang w:eastAsia="zh-TW"/>
        </w:rPr>
        <w:t xml:space="preserve"> </w:t>
      </w:r>
      <w:r w:rsidR="00032E92" w:rsidRPr="002D334D">
        <w:rPr>
          <w:b/>
          <w:i/>
          <w:sz w:val="24"/>
          <w:lang w:eastAsia="zh-TW"/>
        </w:rPr>
        <w:t>of</w:t>
      </w:r>
      <w:r w:rsidR="00032E92">
        <w:t xml:space="preserve"> </w:t>
      </w:r>
      <w:r w:rsidR="00032E92" w:rsidRPr="002B0C0D">
        <w:rPr>
          <w:b/>
          <w:i/>
          <w:sz w:val="24"/>
          <w:lang w:eastAsia="zh-TW"/>
        </w:rPr>
        <w:t>R2-</w:t>
      </w:r>
      <w:r w:rsidR="00DD66A8">
        <w:rPr>
          <w:b/>
          <w:sz w:val="24"/>
          <w:lang w:val="en-US" w:eastAsia="zh-TW"/>
        </w:rPr>
        <w:t>1913769</w:t>
      </w:r>
    </w:p>
    <w:p w14:paraId="31A9B325" w14:textId="77777777"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14:paraId="564A726C" w14:textId="1BD27A48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14895">
        <w:rPr>
          <w:rFonts w:ascii="Arial" w:hAnsi="Arial" w:cs="Arial"/>
          <w:sz w:val="22"/>
          <w:szCs w:val="22"/>
          <w:lang w:eastAsia="zh-TW"/>
        </w:rPr>
        <w:t>6</w:t>
      </w:r>
      <w:r w:rsidR="00E67622" w:rsidRPr="00E67622">
        <w:rPr>
          <w:rFonts w:ascii="Arial" w:hAnsi="Arial" w:cs="Arial"/>
          <w:sz w:val="22"/>
          <w:szCs w:val="22"/>
          <w:lang w:eastAsia="zh-TW"/>
        </w:rPr>
        <w:t>.4.</w:t>
      </w:r>
      <w:r w:rsidR="00430492">
        <w:rPr>
          <w:rFonts w:ascii="Arial" w:hAnsi="Arial" w:cs="Arial"/>
          <w:sz w:val="22"/>
          <w:szCs w:val="22"/>
          <w:lang w:eastAsia="zh-TW"/>
        </w:rPr>
        <w:t>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14:paraId="01148D3A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0C7AA471" w14:textId="7FE4299C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 xml:space="preserve">on </w:t>
      </w:r>
      <w:r w:rsidR="004A61FA">
        <w:rPr>
          <w:rFonts w:ascii="Arial" w:hAnsi="Arial" w:cs="Arial"/>
          <w:sz w:val="22"/>
          <w:szCs w:val="22"/>
          <w:lang w:val="en-US" w:eastAsia="zh-TW"/>
        </w:rPr>
        <w:t xml:space="preserve">resource </w:t>
      </w:r>
      <w:r w:rsidR="00C91920">
        <w:rPr>
          <w:rFonts w:ascii="Arial" w:hAnsi="Arial" w:cs="Arial"/>
          <w:sz w:val="22"/>
          <w:szCs w:val="22"/>
          <w:lang w:val="en-US" w:eastAsia="zh-TW"/>
        </w:rPr>
        <w:t xml:space="preserve">allocation </w:t>
      </w:r>
      <w:r w:rsidR="004A61FA">
        <w:rPr>
          <w:rFonts w:ascii="Arial" w:hAnsi="Arial" w:cs="Arial"/>
          <w:sz w:val="22"/>
          <w:szCs w:val="22"/>
          <w:lang w:val="en-US" w:eastAsia="zh-TW"/>
        </w:rPr>
        <w:t xml:space="preserve">for sidelink </w:t>
      </w:r>
      <w:r w:rsidR="00E82ED4">
        <w:rPr>
          <w:rFonts w:ascii="Arial" w:hAnsi="Arial" w:cs="Arial"/>
          <w:sz w:val="22"/>
          <w:szCs w:val="22"/>
          <w:lang w:val="en-US" w:eastAsia="zh-TW"/>
        </w:rPr>
        <w:t xml:space="preserve">HARQ ACK/NACK </w:t>
      </w:r>
      <w:r w:rsidR="004A61FA">
        <w:rPr>
          <w:rFonts w:ascii="Arial" w:hAnsi="Arial" w:cs="Arial"/>
          <w:sz w:val="22"/>
          <w:szCs w:val="22"/>
          <w:lang w:val="en-US" w:eastAsia="zh-TW"/>
        </w:rPr>
        <w:t>report</w:t>
      </w:r>
    </w:p>
    <w:p w14:paraId="580349A2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112CB53E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4DBCDB8B" w14:textId="0845D6C3" w:rsidR="00553DF1" w:rsidRDefault="00553DF1" w:rsidP="00553DF1">
      <w:pPr>
        <w:rPr>
          <w:rFonts w:ascii="Times New Roman" w:hAnsi="Times New Roman" w:cs="Times New Roman"/>
          <w:sz w:val="22"/>
        </w:rPr>
      </w:pPr>
      <w:r w:rsidRPr="00553DF1">
        <w:rPr>
          <w:rFonts w:ascii="Times New Roman" w:hAnsi="Times New Roman" w:cs="Times New Roman"/>
          <w:sz w:val="22"/>
        </w:rPr>
        <w:t xml:space="preserve">In RAN1#98bis, </w:t>
      </w:r>
      <w:r w:rsidR="00F06115">
        <w:rPr>
          <w:rFonts w:ascii="Times New Roman" w:hAnsi="Times New Roman" w:cs="Times New Roman"/>
          <w:sz w:val="22"/>
        </w:rPr>
        <w:t xml:space="preserve">some </w:t>
      </w:r>
      <w:r w:rsidRPr="00553DF1">
        <w:rPr>
          <w:rFonts w:ascii="Times New Roman" w:hAnsi="Times New Roman" w:cs="Times New Roman"/>
          <w:sz w:val="22"/>
        </w:rPr>
        <w:t>agreement</w:t>
      </w:r>
      <w:r w:rsidR="00F06115">
        <w:rPr>
          <w:rFonts w:ascii="Times New Roman" w:hAnsi="Times New Roman" w:cs="Times New Roman"/>
          <w:sz w:val="22"/>
        </w:rPr>
        <w:t xml:space="preserve">s </w:t>
      </w:r>
      <w:r w:rsidRPr="00553DF1">
        <w:rPr>
          <w:rFonts w:ascii="Times New Roman" w:hAnsi="Times New Roman" w:cs="Times New Roman"/>
          <w:sz w:val="22"/>
        </w:rPr>
        <w:t>regardi</w:t>
      </w:r>
      <w:r w:rsidR="001C7B9E">
        <w:rPr>
          <w:rFonts w:ascii="Times New Roman" w:hAnsi="Times New Roman" w:cs="Times New Roman"/>
          <w:sz w:val="22"/>
        </w:rPr>
        <w:t xml:space="preserve">ng resource allocation for </w:t>
      </w:r>
      <w:r w:rsidR="00283C87">
        <w:rPr>
          <w:rFonts w:ascii="Times New Roman" w:hAnsi="Times New Roman" w:cs="Times New Roman"/>
          <w:sz w:val="22"/>
        </w:rPr>
        <w:t xml:space="preserve">Uu HARQ </w:t>
      </w:r>
      <w:r w:rsidR="001C7B9E">
        <w:rPr>
          <w:rFonts w:ascii="Times New Roman" w:hAnsi="Times New Roman" w:cs="Times New Roman"/>
          <w:sz w:val="22"/>
        </w:rPr>
        <w:t>ACK</w:t>
      </w:r>
      <w:r w:rsidR="00283C87">
        <w:rPr>
          <w:rFonts w:ascii="Times New Roman" w:hAnsi="Times New Roman" w:cs="Times New Roman"/>
          <w:sz w:val="22"/>
        </w:rPr>
        <w:t>/NACK</w:t>
      </w:r>
      <w:r w:rsidR="001C7B9E">
        <w:rPr>
          <w:rFonts w:ascii="Times New Roman" w:hAnsi="Times New Roman" w:cs="Times New Roman"/>
          <w:sz w:val="22"/>
        </w:rPr>
        <w:t xml:space="preserve"> report</w:t>
      </w:r>
      <w:r w:rsidR="00F06115">
        <w:rPr>
          <w:rFonts w:ascii="Times New Roman" w:hAnsi="Times New Roman" w:cs="Times New Roman"/>
          <w:sz w:val="22"/>
        </w:rPr>
        <w:t xml:space="preserve"> w</w:t>
      </w:r>
      <w:r w:rsidR="00923A5B">
        <w:rPr>
          <w:rFonts w:ascii="Times New Roman" w:hAnsi="Times New Roman" w:cs="Times New Roman"/>
          <w:sz w:val="22"/>
        </w:rPr>
        <w:t>ere</w:t>
      </w:r>
      <w:r w:rsidR="00F06115">
        <w:rPr>
          <w:rFonts w:ascii="Times New Roman" w:hAnsi="Times New Roman" w:cs="Times New Roman"/>
          <w:sz w:val="22"/>
        </w:rPr>
        <w:t xml:space="preserve"> made</w:t>
      </w:r>
      <w:r>
        <w:rPr>
          <w:rFonts w:ascii="Times New Roman" w:hAnsi="Times New Roman" w:cs="Times New Roman"/>
          <w:sz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53DF1" w:rsidRPr="00CD6131" w14:paraId="2251BD9E" w14:textId="77777777" w:rsidTr="009B60BC">
        <w:tc>
          <w:tcPr>
            <w:tcW w:w="9747" w:type="dxa"/>
            <w:shd w:val="clear" w:color="auto" w:fill="auto"/>
          </w:tcPr>
          <w:p w14:paraId="0EE5103B" w14:textId="77777777" w:rsidR="00553DF1" w:rsidRPr="00755900" w:rsidRDefault="00553DF1" w:rsidP="00553DF1">
            <w:pPr>
              <w:widowControl/>
              <w:rPr>
                <w:rFonts w:eastAsia="Batang"/>
                <w:sz w:val="20"/>
                <w:lang w:val="en-GB" w:eastAsia="x-none"/>
              </w:rPr>
            </w:pPr>
            <w:r w:rsidRPr="00DF15DF">
              <w:rPr>
                <w:rFonts w:eastAsia="Batang"/>
                <w:sz w:val="20"/>
                <w:highlight w:val="green"/>
                <w:lang w:val="en-GB" w:eastAsia="x-none"/>
              </w:rPr>
              <w:t>Agreements:</w:t>
            </w:r>
            <w:r w:rsidRPr="00755900">
              <w:rPr>
                <w:rFonts w:eastAsia="Batang"/>
                <w:sz w:val="20"/>
                <w:lang w:val="en-GB" w:eastAsia="x-none"/>
              </w:rPr>
              <w:t xml:space="preserve"> </w:t>
            </w:r>
          </w:p>
          <w:p w14:paraId="04AC55AB" w14:textId="77777777" w:rsidR="00553DF1" w:rsidRPr="00755900" w:rsidRDefault="00553DF1" w:rsidP="00553DF1">
            <w:pPr>
              <w:widowControl/>
              <w:rPr>
                <w:rFonts w:eastAsia="Batang"/>
                <w:color w:val="000000"/>
                <w:sz w:val="20"/>
                <w:lang w:val="en-GB" w:eastAsia="x-none"/>
              </w:rPr>
            </w:pPr>
            <w:r w:rsidRPr="00755900">
              <w:rPr>
                <w:rFonts w:eastAsia="Batang"/>
                <w:color w:val="000000"/>
                <w:sz w:val="20"/>
                <w:lang w:val="en-GB" w:eastAsia="x-none"/>
              </w:rPr>
              <w:t xml:space="preserve">For reporting SL HARQ-ACK to the gNB: </w:t>
            </w:r>
          </w:p>
          <w:p w14:paraId="625F375E" w14:textId="77777777" w:rsidR="00553DF1" w:rsidRPr="00755900" w:rsidRDefault="00553DF1" w:rsidP="00553DF1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ind w:hanging="357"/>
              <w:contextualSpacing/>
              <w:rPr>
                <w:rFonts w:eastAsia="SimSun"/>
                <w:sz w:val="20"/>
                <w:lang w:val="en-GB" w:eastAsia="ja-JP"/>
              </w:rPr>
            </w:pPr>
            <w:r w:rsidRPr="00755900">
              <w:rPr>
                <w:rFonts w:eastAsia="SimSun"/>
                <w:sz w:val="20"/>
                <w:lang w:val="en-GB" w:eastAsia="ja-JP"/>
              </w:rPr>
              <w:t xml:space="preserve">For </w:t>
            </w:r>
            <w:r w:rsidRPr="00DF15DF">
              <w:rPr>
                <w:rFonts w:eastAsia="SimSun"/>
                <w:sz w:val="20"/>
                <w:highlight w:val="lightGray"/>
                <w:lang w:val="en-GB" w:eastAsia="ja-JP"/>
              </w:rPr>
              <w:t>dynamic grant and configured grant type-2 in SL, the Rel-15 procedure and signalling for DL HARQ-ACK are reused for the purpose of selecting PUCCH offset/resource and format in UL.</w:t>
            </w:r>
            <w:r w:rsidRPr="00755900">
              <w:rPr>
                <w:rFonts w:eastAsia="SimSun"/>
                <w:sz w:val="20"/>
                <w:lang w:val="en-GB" w:eastAsia="ja-JP"/>
              </w:rPr>
              <w:t xml:space="preserve"> </w:t>
            </w:r>
          </w:p>
          <w:p w14:paraId="79DBFE77" w14:textId="77777777" w:rsidR="00553DF1" w:rsidRPr="00DF15DF" w:rsidRDefault="00553DF1" w:rsidP="00553DF1">
            <w:pPr>
              <w:widowControl/>
              <w:numPr>
                <w:ilvl w:val="1"/>
                <w:numId w:val="6"/>
              </w:numPr>
              <w:spacing w:line="259" w:lineRule="auto"/>
              <w:ind w:hanging="357"/>
              <w:rPr>
                <w:rFonts w:eastAsia="SimSun"/>
                <w:sz w:val="20"/>
                <w:lang w:val="en-GB" w:eastAsia="ja-JP"/>
              </w:rPr>
            </w:pPr>
            <w:r w:rsidRPr="00DF15DF">
              <w:rPr>
                <w:rFonts w:eastAsia="SimSun"/>
                <w:sz w:val="20"/>
                <w:lang w:val="en-GB" w:eastAsia="ja-JP"/>
              </w:rPr>
              <w:t>The configuration for SL is separate from Uu link for a UE</w:t>
            </w:r>
          </w:p>
          <w:p w14:paraId="07BE1BF6" w14:textId="6D6656A0" w:rsidR="00553DF1" w:rsidRPr="00E44F0E" w:rsidRDefault="00727CD4" w:rsidP="00553DF1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spacing w:after="180"/>
              <w:contextualSpacing/>
              <w:rPr>
                <w:rFonts w:eastAsia="SimSun"/>
                <w:sz w:val="20"/>
                <w:lang w:val="en-GB" w:eastAsia="ja-JP"/>
              </w:rPr>
            </w:pPr>
            <w:r w:rsidRPr="00727CD4">
              <w:rPr>
                <w:rFonts w:eastAsia="SimSun"/>
                <w:sz w:val="20"/>
                <w:lang w:val="en-GB" w:eastAsia="ja-JP"/>
              </w:rPr>
              <w:t>FFS how to indicat</w:t>
            </w:r>
            <w:r w:rsidR="00553DF1" w:rsidRPr="00727CD4">
              <w:rPr>
                <w:rFonts w:eastAsia="SimSun"/>
                <w:sz w:val="20"/>
                <w:lang w:val="en-GB" w:eastAsia="ja-JP"/>
              </w:rPr>
              <w:t>e timing of tr</w:t>
            </w:r>
            <w:r w:rsidR="00553DF1" w:rsidRPr="00585626">
              <w:rPr>
                <w:rFonts w:eastAsia="SimSun"/>
                <w:sz w:val="20"/>
                <w:lang w:val="en-GB" w:eastAsia="ja-JP"/>
              </w:rPr>
              <w:t>ansmission in PUCCH, including whether physical or logical slots are used</w:t>
            </w:r>
          </w:p>
          <w:p w14:paraId="2343623E" w14:textId="77777777" w:rsidR="00553DF1" w:rsidRPr="00755900" w:rsidRDefault="00553DF1" w:rsidP="00553DF1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spacing w:after="180"/>
              <w:contextualSpacing/>
              <w:rPr>
                <w:rFonts w:eastAsia="SimSun"/>
                <w:sz w:val="20"/>
                <w:lang w:val="en-GB" w:eastAsia="ja-JP"/>
              </w:rPr>
            </w:pPr>
            <w:r w:rsidRPr="00DF15DF">
              <w:rPr>
                <w:rFonts w:eastAsia="SimSun"/>
                <w:sz w:val="20"/>
                <w:highlight w:val="lightGray"/>
                <w:lang w:val="en-GB" w:eastAsia="ja-JP"/>
              </w:rPr>
              <w:t>For configured grant type-1 in SL, RRC is used to configure PUCCH offset/resource and format in UL (if supported)</w:t>
            </w:r>
          </w:p>
          <w:p w14:paraId="3C83AB5C" w14:textId="77777777" w:rsidR="00553DF1" w:rsidRPr="00DF15DF" w:rsidRDefault="00553DF1" w:rsidP="009B60BC">
            <w:pPr>
              <w:rPr>
                <w:b/>
                <w:bCs/>
                <w:sz w:val="22"/>
                <w:lang w:val="en-GB"/>
              </w:rPr>
            </w:pPr>
          </w:p>
        </w:tc>
      </w:tr>
    </w:tbl>
    <w:p w14:paraId="12D8CBA2" w14:textId="073454D8" w:rsidR="00283C87" w:rsidRDefault="00283C87" w:rsidP="00283C87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Based on RAN1 agreements, this contribution discusses further details to indicate uplink resource for transmitting HARQ ACK/NACK report (e.g. PUCCH resource) to transmitter UE in response to different sidelink grant types.</w:t>
      </w:r>
    </w:p>
    <w:p w14:paraId="3BDDD6B0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23DE47BF" w14:textId="7DA78F7F" w:rsidR="00C01659" w:rsidRDefault="00A60768" w:rsidP="00E91862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RAN1 #97 m</w:t>
      </w:r>
      <w:r>
        <w:rPr>
          <w:rFonts w:ascii="Times New Roman" w:hAnsi="Times New Roman" w:cs="Times New Roman"/>
          <w:sz w:val="22"/>
        </w:rPr>
        <w:t xml:space="preserve">eeting, </w:t>
      </w:r>
      <w:r w:rsidR="00EB7728">
        <w:rPr>
          <w:rFonts w:ascii="Times New Roman" w:hAnsi="Times New Roman" w:cs="Times New Roman"/>
          <w:sz w:val="22"/>
        </w:rPr>
        <w:t>an agreement has been made</w:t>
      </w:r>
      <w:r>
        <w:rPr>
          <w:rFonts w:ascii="Times New Roman" w:hAnsi="Times New Roman" w:cs="Times New Roman"/>
          <w:sz w:val="22"/>
        </w:rPr>
        <w:t xml:space="preserve"> </w:t>
      </w:r>
      <w:r w:rsidR="006272A0">
        <w:rPr>
          <w:rFonts w:ascii="Times New Roman" w:hAnsi="Times New Roman" w:cs="Times New Roman"/>
          <w:sz w:val="22"/>
        </w:rPr>
        <w:t xml:space="preserve">for SL </w:t>
      </w:r>
      <w:r w:rsidR="002678C6">
        <w:rPr>
          <w:rFonts w:ascii="Times New Roman" w:hAnsi="Times New Roman" w:cs="Times New Roman"/>
          <w:sz w:val="22"/>
        </w:rPr>
        <w:t xml:space="preserve">mode </w:t>
      </w:r>
      <w:r w:rsidR="006272A0">
        <w:rPr>
          <w:rFonts w:ascii="Times New Roman" w:hAnsi="Times New Roman" w:cs="Times New Roman"/>
          <w:sz w:val="22"/>
        </w:rPr>
        <w:t xml:space="preserve">1 </w:t>
      </w:r>
      <w:r>
        <w:rPr>
          <w:rFonts w:ascii="Times New Roman" w:hAnsi="Times New Roman" w:cs="Times New Roman"/>
          <w:sz w:val="22"/>
        </w:rPr>
        <w:t xml:space="preserve">to support </w:t>
      </w:r>
      <w:r w:rsidR="004A61FA">
        <w:rPr>
          <w:rFonts w:ascii="Times New Roman" w:hAnsi="Times New Roman" w:cs="Times New Roman"/>
          <w:sz w:val="22"/>
        </w:rPr>
        <w:t xml:space="preserve">HARQ ACK/NACK report from transmitter </w:t>
      </w:r>
      <w:r w:rsidR="00EB7728">
        <w:rPr>
          <w:rFonts w:ascii="Times New Roman" w:hAnsi="Times New Roman" w:cs="Times New Roman"/>
          <w:sz w:val="22"/>
        </w:rPr>
        <w:t>UE to gNB as an indication for sidelink transmission result (e.g. requesting retransmission resource</w:t>
      </w:r>
      <w:r w:rsidR="00FE1926">
        <w:rPr>
          <w:rFonts w:ascii="Times New Roman" w:hAnsi="Times New Roman" w:cs="Times New Roman"/>
          <w:sz w:val="22"/>
        </w:rPr>
        <w:t>)</w:t>
      </w:r>
      <w:r w:rsidR="001C7B9E">
        <w:rPr>
          <w:rFonts w:ascii="Times New Roman" w:hAnsi="Times New Roman" w:cs="Times New Roman"/>
          <w:sz w:val="22"/>
        </w:rPr>
        <w:t>.</w:t>
      </w:r>
      <w:r w:rsidR="00694F80">
        <w:rPr>
          <w:rFonts w:ascii="Times New Roman" w:hAnsi="Times New Roman" w:cs="Times New Roman"/>
          <w:sz w:val="22"/>
        </w:rPr>
        <w:t xml:space="preserve"> In addition, type-1 and type-2 configured grant are also supported in NR sidelink</w:t>
      </w:r>
      <w:r w:rsidR="001C7B9E">
        <w:rPr>
          <w:rFonts w:ascii="Times New Roman" w:hAnsi="Times New Roman" w:cs="Times New Roman"/>
          <w:sz w:val="22"/>
        </w:rPr>
        <w:t>, as agreed in RAN2#105bis meeting</w:t>
      </w:r>
      <w:r w:rsidR="00694F80">
        <w:rPr>
          <w:rFonts w:ascii="Times New Roman" w:hAnsi="Times New Roman" w:cs="Times New Roman"/>
          <w:sz w:val="22"/>
        </w:rPr>
        <w:t xml:space="preserve">. </w:t>
      </w:r>
      <w:r w:rsidR="00553DF1">
        <w:rPr>
          <w:rFonts w:ascii="Times New Roman" w:hAnsi="Times New Roman" w:cs="Times New Roman"/>
          <w:sz w:val="22"/>
        </w:rPr>
        <w:t>According to agreements further made in RAN1#98bis meeting,</w:t>
      </w:r>
      <w:r w:rsidR="00585626">
        <w:rPr>
          <w:rFonts w:ascii="Times New Roman" w:hAnsi="Times New Roman" w:cs="Times New Roman"/>
          <w:sz w:val="22"/>
        </w:rPr>
        <w:t xml:space="preserve"> RRC configuration will be used for allocating report resources on Uu for configured grant type-1, and</w:t>
      </w:r>
      <w:r w:rsidR="00553DF1">
        <w:rPr>
          <w:rFonts w:ascii="Times New Roman" w:hAnsi="Times New Roman" w:cs="Times New Roman"/>
          <w:sz w:val="22"/>
        </w:rPr>
        <w:t xml:space="preserve"> </w:t>
      </w:r>
      <w:r w:rsidR="00585626">
        <w:rPr>
          <w:rFonts w:ascii="Times New Roman" w:hAnsi="Times New Roman" w:cs="Times New Roman"/>
          <w:sz w:val="22"/>
        </w:rPr>
        <w:t xml:space="preserve">legacy Rel-15 procedure for indicating DL HARQ ACK resources will be reused for configured grant type-2 and dynamic grant in SL. </w:t>
      </w:r>
    </w:p>
    <w:p w14:paraId="4881FA2D" w14:textId="550B269B" w:rsidR="00A60768" w:rsidRDefault="00A60768" w:rsidP="00E91862">
      <w:pPr>
        <w:rPr>
          <w:rFonts w:ascii="Times New Roman" w:hAnsi="Times New Roman" w:cs="Times New Roman"/>
          <w:sz w:val="22"/>
        </w:rPr>
      </w:pPr>
    </w:p>
    <w:p w14:paraId="0B083F19" w14:textId="77777777" w:rsidR="0032588D" w:rsidRPr="00491A64" w:rsidRDefault="0032588D" w:rsidP="0032588D">
      <w:pPr>
        <w:rPr>
          <w:rFonts w:ascii="Times New Roman" w:hAnsi="Times New Roman" w:cs="Times New Roman"/>
          <w:b/>
          <w:sz w:val="22"/>
          <w:u w:val="single"/>
        </w:rPr>
      </w:pPr>
      <w:r w:rsidRPr="00491A64">
        <w:rPr>
          <w:rFonts w:ascii="Times New Roman" w:hAnsi="Times New Roman" w:cs="Times New Roman"/>
          <w:b/>
          <w:sz w:val="22"/>
          <w:u w:val="single"/>
        </w:rPr>
        <w:t>D</w:t>
      </w:r>
      <w:r w:rsidRPr="00491A64">
        <w:rPr>
          <w:rFonts w:ascii="Times New Roman" w:hAnsi="Times New Roman" w:cs="Times New Roman" w:hint="eastAsia"/>
          <w:b/>
          <w:sz w:val="22"/>
          <w:u w:val="single"/>
        </w:rPr>
        <w:t xml:space="preserve">ynamic </w:t>
      </w:r>
      <w:r>
        <w:rPr>
          <w:rFonts w:ascii="Times New Roman" w:hAnsi="Times New Roman" w:cs="Times New Roman"/>
          <w:b/>
          <w:sz w:val="22"/>
          <w:u w:val="single"/>
        </w:rPr>
        <w:t>SL</w:t>
      </w:r>
      <w:r w:rsidRPr="00491A64">
        <w:rPr>
          <w:rFonts w:ascii="Times New Roman" w:hAnsi="Times New Roman" w:cs="Times New Roman"/>
          <w:b/>
          <w:sz w:val="22"/>
          <w:u w:val="single"/>
        </w:rPr>
        <w:t xml:space="preserve"> grant</w:t>
      </w:r>
      <w:r>
        <w:rPr>
          <w:rFonts w:ascii="Times New Roman" w:hAnsi="Times New Roman" w:cs="Times New Roman"/>
          <w:b/>
          <w:sz w:val="22"/>
          <w:u w:val="single"/>
        </w:rPr>
        <w:t xml:space="preserve"> and type-2 configured grant </w:t>
      </w:r>
    </w:p>
    <w:p w14:paraId="5669564E" w14:textId="6B12DC12" w:rsidR="0032588D" w:rsidRDefault="0032588D" w:rsidP="0032588D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NR Uu, a UE receives a DCI indicating PUCCH resource timing location (i.e. PUCCH resource indicator) for transmitting HARQ ACK/NACK associated </w:t>
      </w:r>
      <w:r w:rsidR="00C01659">
        <w:rPr>
          <w:rFonts w:ascii="Times New Roman" w:hAnsi="Times New Roman" w:cs="Times New Roman"/>
          <w:sz w:val="22"/>
        </w:rPr>
        <w:t xml:space="preserve">with a downlink assignment [1], and RAN1 has agreed to </w:t>
      </w:r>
      <w:r w:rsidR="00C01659">
        <w:rPr>
          <w:rFonts w:ascii="Times New Roman" w:hAnsi="Times New Roman" w:cs="Times New Roman"/>
          <w:sz w:val="22"/>
        </w:rPr>
        <w:lastRenderedPageBreak/>
        <w:t>reuse the procedure for sidelink dynamic grant and configured grant type-2.</w:t>
      </w:r>
      <w:r w:rsidR="00836213">
        <w:rPr>
          <w:rFonts w:ascii="Times New Roman" w:hAnsi="Times New Roman" w:cs="Times New Roman"/>
          <w:sz w:val="22"/>
        </w:rPr>
        <w:t xml:space="preserve"> Since DCI design and handling DCI information is solely RAN1 work. Resource allocation for HARQ ACK/NACK report for dynamic grant and type-2 CG has no RAN2 impact.</w:t>
      </w:r>
    </w:p>
    <w:p w14:paraId="2220DF54" w14:textId="1499ECC9" w:rsidR="0032588D" w:rsidRDefault="00227A42" w:rsidP="00DF15DF">
      <w:pPr>
        <w:ind w:left="1277" w:hangingChars="580" w:hanging="1277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Observation</w:t>
      </w:r>
      <w:r w:rsidR="0032588D" w:rsidRPr="00C52D2C">
        <w:rPr>
          <w:rFonts w:ascii="Times New Roman" w:hAnsi="Times New Roman" w:cs="Times New Roman"/>
          <w:b/>
          <w:bCs/>
          <w:sz w:val="22"/>
        </w:rPr>
        <w:t xml:space="preserve">: For dynamic </w:t>
      </w:r>
      <w:r w:rsidR="0032588D">
        <w:rPr>
          <w:rFonts w:ascii="Times New Roman" w:hAnsi="Times New Roman" w:cs="Times New Roman"/>
          <w:b/>
          <w:bCs/>
          <w:sz w:val="22"/>
        </w:rPr>
        <w:t>SL</w:t>
      </w:r>
      <w:r w:rsidR="0032588D" w:rsidRPr="00C52D2C">
        <w:rPr>
          <w:rFonts w:ascii="Times New Roman" w:hAnsi="Times New Roman" w:cs="Times New Roman"/>
          <w:b/>
          <w:bCs/>
          <w:sz w:val="22"/>
        </w:rPr>
        <w:t xml:space="preserve"> grant</w:t>
      </w:r>
      <w:r w:rsidR="0032588D">
        <w:rPr>
          <w:rFonts w:ascii="Times New Roman" w:hAnsi="Times New Roman" w:cs="Times New Roman"/>
          <w:b/>
          <w:bCs/>
          <w:sz w:val="22"/>
        </w:rPr>
        <w:t xml:space="preserve"> and type-2 configured grant</w:t>
      </w:r>
      <w:r w:rsidR="0032588D" w:rsidRPr="00C52D2C">
        <w:rPr>
          <w:rFonts w:ascii="Times New Roman" w:hAnsi="Times New Roman" w:cs="Times New Roman"/>
          <w:b/>
          <w:bCs/>
          <w:sz w:val="22"/>
        </w:rPr>
        <w:t>,</w:t>
      </w:r>
      <w:r w:rsidR="0032588D">
        <w:rPr>
          <w:rFonts w:ascii="Times New Roman" w:hAnsi="Times New Roman" w:cs="Times New Roman"/>
          <w:b/>
          <w:bCs/>
          <w:sz w:val="22"/>
        </w:rPr>
        <w:t xml:space="preserve"> </w:t>
      </w:r>
      <w:r w:rsidR="009A73C6">
        <w:rPr>
          <w:rFonts w:ascii="Times New Roman" w:hAnsi="Times New Roman" w:cs="Times New Roman"/>
          <w:b/>
          <w:bCs/>
          <w:sz w:val="22"/>
        </w:rPr>
        <w:t xml:space="preserve">it’s </w:t>
      </w:r>
      <w:r w:rsidR="001E5BA9">
        <w:rPr>
          <w:rFonts w:ascii="Times New Roman" w:hAnsi="Times New Roman" w:cs="Times New Roman"/>
          <w:b/>
          <w:bCs/>
          <w:sz w:val="22"/>
        </w:rPr>
        <w:t>solely</w:t>
      </w:r>
      <w:r w:rsidR="009A73C6">
        <w:rPr>
          <w:rFonts w:ascii="Times New Roman" w:hAnsi="Times New Roman" w:cs="Times New Roman"/>
          <w:b/>
          <w:bCs/>
          <w:sz w:val="22"/>
        </w:rPr>
        <w:t xml:space="preserve"> based on RAN1’s design for indicating </w:t>
      </w:r>
      <w:r w:rsidR="0032588D" w:rsidRPr="00C52D2C">
        <w:rPr>
          <w:rFonts w:ascii="Times New Roman" w:hAnsi="Times New Roman" w:cs="Times New Roman"/>
          <w:b/>
          <w:bCs/>
          <w:sz w:val="22"/>
        </w:rPr>
        <w:t>PUCCH resource used for s</w:t>
      </w:r>
      <w:r w:rsidR="0032588D">
        <w:rPr>
          <w:rFonts w:ascii="Times New Roman" w:hAnsi="Times New Roman" w:cs="Times New Roman"/>
          <w:b/>
          <w:bCs/>
          <w:sz w:val="22"/>
        </w:rPr>
        <w:t>idelink HARQ ACK/NACK report</w:t>
      </w:r>
      <w:r w:rsidR="009A73C6">
        <w:rPr>
          <w:rFonts w:ascii="Times New Roman" w:hAnsi="Times New Roman" w:cs="Times New Roman"/>
          <w:b/>
          <w:bCs/>
          <w:sz w:val="22"/>
        </w:rPr>
        <w:t xml:space="preserve"> (e.g. based on DCI)</w:t>
      </w:r>
      <w:r w:rsidR="0032588D"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64822688" w14:textId="700D0DBD" w:rsidR="002E7C3C" w:rsidRPr="0032588D" w:rsidRDefault="002E7C3C" w:rsidP="00E91862">
      <w:pPr>
        <w:rPr>
          <w:rFonts w:ascii="Times New Roman" w:hAnsi="Times New Roman" w:cs="Times New Roman"/>
          <w:sz w:val="22"/>
        </w:rPr>
      </w:pPr>
    </w:p>
    <w:p w14:paraId="696623ED" w14:textId="77777777" w:rsidR="002E7C3C" w:rsidRPr="00C52D2C" w:rsidRDefault="002E7C3C" w:rsidP="002E7C3C">
      <w:pPr>
        <w:rPr>
          <w:rFonts w:ascii="Times New Roman" w:hAnsi="Times New Roman" w:cs="Times New Roman"/>
          <w:b/>
          <w:sz w:val="22"/>
          <w:u w:val="single"/>
        </w:rPr>
      </w:pPr>
      <w:r w:rsidRPr="00C52D2C">
        <w:rPr>
          <w:rFonts w:ascii="Times New Roman" w:hAnsi="Times New Roman" w:cs="Times New Roman"/>
          <w:b/>
          <w:sz w:val="22"/>
          <w:u w:val="single"/>
        </w:rPr>
        <w:t xml:space="preserve">Type-1 configured grant </w:t>
      </w:r>
    </w:p>
    <w:p w14:paraId="0E7D2DBE" w14:textId="3ADBF9B2" w:rsidR="002E7C3C" w:rsidRDefault="002E7C3C" w:rsidP="002E7C3C">
      <w:pPr>
        <w:rPr>
          <w:rFonts w:ascii="Times New Roman" w:hAnsi="Times New Roman" w:cs="Times New Roman"/>
          <w:sz w:val="22"/>
        </w:rPr>
      </w:pPr>
      <w:r w:rsidRPr="00C52D2C">
        <w:rPr>
          <w:rFonts w:ascii="Times New Roman" w:hAnsi="Times New Roman" w:cs="Times New Roman"/>
          <w:sz w:val="22"/>
        </w:rPr>
        <w:t xml:space="preserve">In NR Uu, type-1 </w:t>
      </w:r>
      <w:r>
        <w:rPr>
          <w:rFonts w:ascii="Times New Roman" w:hAnsi="Times New Roman" w:cs="Times New Roman"/>
          <w:sz w:val="22"/>
        </w:rPr>
        <w:t>configured grant</w:t>
      </w:r>
      <w:r w:rsidRPr="00C52D2C">
        <w:rPr>
          <w:rFonts w:ascii="Times New Roman" w:hAnsi="Times New Roman" w:cs="Times New Roman"/>
          <w:sz w:val="22"/>
        </w:rPr>
        <w:t xml:space="preserve"> is initialized upon configuration by upper layers. </w:t>
      </w:r>
      <w:r>
        <w:rPr>
          <w:rFonts w:ascii="Times New Roman" w:hAnsi="Times New Roman" w:cs="Times New Roman"/>
          <w:sz w:val="22"/>
        </w:rPr>
        <w:t>Since</w:t>
      </w:r>
      <w:r w:rsidRPr="00C52D2C">
        <w:rPr>
          <w:rFonts w:ascii="Times New Roman" w:hAnsi="Times New Roman" w:cs="Times New Roman"/>
          <w:sz w:val="22"/>
        </w:rPr>
        <w:t xml:space="preserve"> will be no DCI indicating PUCCH resources for transmitting HARQ</w:t>
      </w:r>
      <w:r w:rsidR="00283C87">
        <w:rPr>
          <w:rFonts w:ascii="Times New Roman" w:hAnsi="Times New Roman" w:cs="Times New Roman"/>
          <w:sz w:val="22"/>
        </w:rPr>
        <w:t>-ACK</w:t>
      </w:r>
      <w:r w:rsidRPr="00C52D2C">
        <w:rPr>
          <w:rFonts w:ascii="Times New Roman" w:hAnsi="Times New Roman" w:cs="Times New Roman"/>
          <w:sz w:val="22"/>
        </w:rPr>
        <w:t xml:space="preserve"> report, PUCCH resources for type-1 </w:t>
      </w:r>
      <w:r>
        <w:rPr>
          <w:rFonts w:ascii="Times New Roman" w:hAnsi="Times New Roman" w:cs="Times New Roman"/>
          <w:sz w:val="22"/>
        </w:rPr>
        <w:t>configured grant</w:t>
      </w:r>
      <w:r w:rsidRPr="00C52D2C">
        <w:rPr>
          <w:rFonts w:ascii="Times New Roman" w:hAnsi="Times New Roman" w:cs="Times New Roman"/>
          <w:sz w:val="22"/>
        </w:rPr>
        <w:t xml:space="preserve"> shall be provided via RRC configuration</w:t>
      </w:r>
      <w:r w:rsidR="00283C87">
        <w:rPr>
          <w:rFonts w:ascii="Times New Roman" w:hAnsi="Times New Roman" w:cs="Times New Roman"/>
          <w:sz w:val="22"/>
        </w:rPr>
        <w:t>, as agreed by RAN1</w:t>
      </w:r>
      <w:r w:rsidRPr="00C52D2C">
        <w:rPr>
          <w:rFonts w:ascii="Times New Roman" w:hAnsi="Times New Roman" w:cs="Times New Roman"/>
          <w:sz w:val="22"/>
        </w:rPr>
        <w:t>.</w:t>
      </w:r>
      <w:r>
        <w:rPr>
          <w:rFonts w:ascii="Times New Roman" w:hAnsi="Times New Roman" w:cs="Times New Roman"/>
          <w:sz w:val="22"/>
        </w:rPr>
        <w:t xml:space="preserve"> For example,</w:t>
      </w:r>
      <w:r w:rsidR="00011EB1">
        <w:rPr>
          <w:rFonts w:ascii="Times New Roman" w:hAnsi="Times New Roman" w:cs="Times New Roman"/>
          <w:sz w:val="22"/>
        </w:rPr>
        <w:t xml:space="preserve"> as shown in Figure 1,</w:t>
      </w:r>
      <w:r>
        <w:rPr>
          <w:rFonts w:ascii="Times New Roman" w:hAnsi="Times New Roman" w:cs="Times New Roman"/>
          <w:sz w:val="22"/>
        </w:rPr>
        <w:t xml:space="preserve"> the RRC configuration for type-1 configured grant (e.g.</w:t>
      </w:r>
      <w:r w:rsidR="00FE1926">
        <w:rPr>
          <w:rFonts w:ascii="Times New Roman" w:hAnsi="Times New Roman" w:cs="Times New Roman"/>
          <w:sz w:val="22"/>
        </w:rPr>
        <w:t xml:space="preserve"> an IE similar to</w:t>
      </w:r>
      <w:r>
        <w:rPr>
          <w:rFonts w:ascii="Times New Roman" w:hAnsi="Times New Roman" w:cs="Times New Roman"/>
          <w:sz w:val="22"/>
        </w:rPr>
        <w:t xml:space="preserve"> </w:t>
      </w:r>
      <w:r w:rsidRPr="00894472">
        <w:rPr>
          <w:rFonts w:ascii="Times New Roman" w:hAnsi="Times New Roman" w:cs="Times New Roman"/>
          <w:i/>
          <w:sz w:val="22"/>
        </w:rPr>
        <w:t>ConfiguredGrantConfig</w:t>
      </w:r>
      <w:r>
        <w:rPr>
          <w:rFonts w:ascii="Times New Roman" w:hAnsi="Times New Roman" w:cs="Times New Roman"/>
          <w:sz w:val="22"/>
        </w:rPr>
        <w:t xml:space="preserve">) indicates </w:t>
      </w:r>
      <w:r w:rsidR="003171CD">
        <w:rPr>
          <w:rFonts w:ascii="Times New Roman" w:hAnsi="Times New Roman" w:cs="Times New Roman"/>
          <w:sz w:val="22"/>
        </w:rPr>
        <w:t xml:space="preserve">frequency information and </w:t>
      </w:r>
      <w:r>
        <w:rPr>
          <w:rFonts w:ascii="Times New Roman" w:hAnsi="Times New Roman" w:cs="Times New Roman"/>
          <w:sz w:val="22"/>
        </w:rPr>
        <w:t>a timing offset associated with the HARQ ACK/NACK report.</w:t>
      </w:r>
      <w:r w:rsidR="00011EB1">
        <w:rPr>
          <w:rFonts w:ascii="Times New Roman" w:hAnsi="Times New Roman" w:cs="Times New Roman"/>
          <w:sz w:val="22"/>
        </w:rPr>
        <w:t xml:space="preserve"> The timing offset may be a</w:t>
      </w:r>
      <w:r w:rsidR="008C00C9">
        <w:rPr>
          <w:rFonts w:ascii="Times New Roman" w:hAnsi="Times New Roman" w:cs="Times New Roman"/>
          <w:sz w:val="22"/>
        </w:rPr>
        <w:t>n</w:t>
      </w:r>
      <w:r w:rsidR="00011EB1">
        <w:rPr>
          <w:rFonts w:ascii="Times New Roman" w:hAnsi="Times New Roman" w:cs="Times New Roman"/>
          <w:sz w:val="22"/>
        </w:rPr>
        <w:t xml:space="preserve"> offset associated with timing of HARQ ACK/ACK transmitted from a Rx UE (</w:t>
      </w:r>
      <w:r w:rsidR="00E26B0B">
        <w:rPr>
          <w:rFonts w:ascii="Times New Roman" w:hAnsi="Times New Roman" w:cs="Times New Roman"/>
          <w:sz w:val="22"/>
        </w:rPr>
        <w:t>option 1</w:t>
      </w:r>
      <w:r w:rsidR="00011EB1">
        <w:rPr>
          <w:rFonts w:ascii="Times New Roman" w:hAnsi="Times New Roman" w:cs="Times New Roman"/>
          <w:sz w:val="22"/>
        </w:rPr>
        <w:t>) or timing of SL transmission (</w:t>
      </w:r>
      <w:r w:rsidR="00E26B0B">
        <w:rPr>
          <w:rFonts w:ascii="Times New Roman" w:hAnsi="Times New Roman" w:cs="Times New Roman"/>
          <w:sz w:val="22"/>
        </w:rPr>
        <w:t>option 2</w:t>
      </w:r>
      <w:r w:rsidR="00011EB1">
        <w:rPr>
          <w:rFonts w:ascii="Times New Roman" w:hAnsi="Times New Roman" w:cs="Times New Roman"/>
          <w:sz w:val="22"/>
        </w:rPr>
        <w:t>)</w:t>
      </w:r>
      <w:r w:rsidR="008C00C9">
        <w:rPr>
          <w:rFonts w:ascii="Times New Roman" w:hAnsi="Times New Roman" w:cs="Times New Roman"/>
          <w:sz w:val="22"/>
        </w:rPr>
        <w:t xml:space="preserve">. While the </w:t>
      </w:r>
      <w:r w:rsidR="00D42E0B">
        <w:rPr>
          <w:rFonts w:ascii="Times New Roman" w:hAnsi="Times New Roman" w:cs="Times New Roman"/>
          <w:sz w:val="22"/>
        </w:rPr>
        <w:t xml:space="preserve">parameter </w:t>
      </w:r>
      <w:r w:rsidR="008C00C9">
        <w:rPr>
          <w:rFonts w:ascii="Times New Roman" w:hAnsi="Times New Roman" w:cs="Times New Roman"/>
          <w:sz w:val="22"/>
        </w:rPr>
        <w:t xml:space="preserve">details can be </w:t>
      </w:r>
      <w:r w:rsidR="00D42E0B">
        <w:rPr>
          <w:rFonts w:ascii="Times New Roman" w:hAnsi="Times New Roman" w:cs="Times New Roman"/>
          <w:sz w:val="22"/>
        </w:rPr>
        <w:t xml:space="preserve">further </w:t>
      </w:r>
      <w:r w:rsidR="008C00C9">
        <w:rPr>
          <w:rFonts w:ascii="Times New Roman" w:hAnsi="Times New Roman" w:cs="Times New Roman"/>
          <w:sz w:val="22"/>
        </w:rPr>
        <w:t>discussed</w:t>
      </w:r>
      <w:r w:rsidR="00500935">
        <w:rPr>
          <w:rFonts w:ascii="Times New Roman" w:hAnsi="Times New Roman" w:cs="Times New Roman"/>
          <w:sz w:val="22"/>
        </w:rPr>
        <w:t xml:space="preserve"> in RAN2 or </w:t>
      </w:r>
      <w:r w:rsidR="007A7C2E">
        <w:rPr>
          <w:rFonts w:ascii="Times New Roman" w:hAnsi="Times New Roman" w:cs="Times New Roman"/>
          <w:sz w:val="22"/>
        </w:rPr>
        <w:t>depend on</w:t>
      </w:r>
      <w:r w:rsidR="00500935">
        <w:rPr>
          <w:rFonts w:ascii="Times New Roman" w:hAnsi="Times New Roman" w:cs="Times New Roman"/>
          <w:sz w:val="22"/>
        </w:rPr>
        <w:t xml:space="preserve"> RAN1</w:t>
      </w:r>
      <w:r w:rsidR="007A7C2E">
        <w:rPr>
          <w:rFonts w:ascii="Times New Roman" w:hAnsi="Times New Roman" w:cs="Times New Roman"/>
          <w:sz w:val="22"/>
        </w:rPr>
        <w:t xml:space="preserve"> progress</w:t>
      </w:r>
      <w:r w:rsidR="008C00C9">
        <w:rPr>
          <w:rFonts w:ascii="Times New Roman" w:hAnsi="Times New Roman" w:cs="Times New Roman"/>
          <w:sz w:val="22"/>
        </w:rPr>
        <w:t xml:space="preserve">, we </w:t>
      </w:r>
      <w:r w:rsidR="00500935">
        <w:rPr>
          <w:rFonts w:ascii="Times New Roman" w:hAnsi="Times New Roman" w:cs="Times New Roman"/>
          <w:sz w:val="22"/>
        </w:rPr>
        <w:t xml:space="preserve">firstly </w:t>
      </w:r>
      <w:r w:rsidR="008C00C9">
        <w:rPr>
          <w:rFonts w:ascii="Times New Roman" w:hAnsi="Times New Roman" w:cs="Times New Roman"/>
          <w:sz w:val="22"/>
        </w:rPr>
        <w:t xml:space="preserve">propose that the </w:t>
      </w:r>
      <w:r w:rsidR="007831E3">
        <w:rPr>
          <w:rFonts w:ascii="Times New Roman" w:hAnsi="Times New Roman" w:cs="Times New Roman"/>
          <w:sz w:val="22"/>
        </w:rPr>
        <w:t>each type-1 CG</w:t>
      </w:r>
      <w:r w:rsidR="008C00C9">
        <w:rPr>
          <w:rFonts w:ascii="Times New Roman" w:hAnsi="Times New Roman" w:cs="Times New Roman"/>
          <w:sz w:val="22"/>
        </w:rPr>
        <w:t xml:space="preserve"> configuration should at least have these additional parameters for UE to determine HARQ ACK/NACK report resources.</w:t>
      </w:r>
    </w:p>
    <w:p w14:paraId="609D850D" w14:textId="77777777" w:rsidR="006F10C4" w:rsidRDefault="006F10C4" w:rsidP="006F10C4">
      <w:pPr>
        <w:ind w:left="993" w:hangingChars="451" w:hanging="99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Proposal: For type-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1 </w:t>
      </w:r>
      <w:r>
        <w:rPr>
          <w:rFonts w:ascii="Times New Roman" w:hAnsi="Times New Roman" w:cs="Times New Roman"/>
          <w:b/>
          <w:bCs/>
          <w:sz w:val="22"/>
        </w:rPr>
        <w:t>configured grant,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</w:rPr>
        <w:t>each CG configuration shall include timing offset and frequency information for determining PUCCH resource(s) for HARQ ACK/NACK report</w:t>
      </w:r>
      <w:r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713ABAC4" w14:textId="1A2A09CA" w:rsidR="006F10C4" w:rsidRPr="00C52D2C" w:rsidRDefault="00E26B0B" w:rsidP="00DF15DF">
      <w:pPr>
        <w:jc w:val="center"/>
        <w:rPr>
          <w:rFonts w:ascii="Times New Roman" w:hAnsi="Times New Roman" w:cs="Times New Roman"/>
          <w:sz w:val="22"/>
        </w:rPr>
      </w:pPr>
      <w:r w:rsidRPr="0052258D">
        <w:object w:dxaOrig="12248" w:dyaOrig="3673" w14:anchorId="0E443A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95pt;height:146.5pt" o:ole="">
            <v:imagedata r:id="rId8" o:title=""/>
          </v:shape>
          <o:OLEObject Type="Embed" ProgID="Visio.Drawing.11" ShapeID="_x0000_i1025" DrawAspect="Content" ObjectID="_1634714171" r:id="rId9"/>
        </w:object>
      </w:r>
      <w:r w:rsidR="006B2047">
        <w:t>Figure 1. Type-1 CG configuration indicating resource information for HARQ report.</w:t>
      </w:r>
    </w:p>
    <w:p w14:paraId="4E44EF98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45A87F72" w14:textId="16552AF8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>e have the following</w:t>
      </w:r>
      <w:r w:rsidR="00227A42">
        <w:rPr>
          <w:rFonts w:ascii="Times New Roman" w:hAnsi="Times New Roman" w:cs="Times New Roman"/>
          <w:sz w:val="22"/>
        </w:rPr>
        <w:t xml:space="preserve"> observation and</w:t>
      </w:r>
      <w:r w:rsidR="001B65B3">
        <w:rPr>
          <w:rFonts w:ascii="Times New Roman" w:hAnsi="Times New Roman" w:cs="Times New Roman"/>
          <w:sz w:val="22"/>
        </w:rPr>
        <w:t xml:space="preserve">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443A12">
        <w:rPr>
          <w:rFonts w:ascii="Times New Roman" w:hAnsi="Times New Roman" w:cs="Times New Roman"/>
          <w:sz w:val="22"/>
        </w:rPr>
        <w:t>indicating</w:t>
      </w:r>
      <w:r w:rsidR="00C52D2C">
        <w:rPr>
          <w:rFonts w:ascii="Times New Roman" w:hAnsi="Times New Roman" w:cs="Times New Roman"/>
          <w:sz w:val="22"/>
        </w:rPr>
        <w:t xml:space="preserve"> PUCCH resource for </w:t>
      </w:r>
      <w:r w:rsidR="00443A12">
        <w:rPr>
          <w:rFonts w:ascii="Times New Roman" w:hAnsi="Times New Roman" w:cs="Times New Roman"/>
          <w:sz w:val="22"/>
        </w:rPr>
        <w:t xml:space="preserve">transmitting HARQ report to gNB from </w:t>
      </w:r>
      <w:r w:rsidR="00C52D2C">
        <w:rPr>
          <w:rFonts w:ascii="Times New Roman" w:hAnsi="Times New Roman" w:cs="Times New Roman"/>
          <w:sz w:val="22"/>
        </w:rPr>
        <w:t>SL mode-1 UE</w:t>
      </w:r>
      <w:r w:rsidR="001B65B3">
        <w:rPr>
          <w:rFonts w:ascii="Times New Roman" w:hAnsi="Times New Roman" w:cs="Times New Roman"/>
          <w:sz w:val="22"/>
        </w:rPr>
        <w:t>:</w:t>
      </w:r>
    </w:p>
    <w:p w14:paraId="4F94E986" w14:textId="1B005E8F" w:rsidR="00EF4E69" w:rsidRDefault="00EF4E69" w:rsidP="00EF4E69">
      <w:pPr>
        <w:ind w:left="1277" w:hangingChars="580" w:hanging="1277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Observation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: For dynamic </w:t>
      </w:r>
      <w:r>
        <w:rPr>
          <w:rFonts w:ascii="Times New Roman" w:hAnsi="Times New Roman" w:cs="Times New Roman"/>
          <w:b/>
          <w:bCs/>
          <w:sz w:val="22"/>
        </w:rPr>
        <w:t>SL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grant</w:t>
      </w:r>
      <w:r>
        <w:rPr>
          <w:rFonts w:ascii="Times New Roman" w:hAnsi="Times New Roman" w:cs="Times New Roman"/>
          <w:b/>
          <w:bCs/>
          <w:sz w:val="22"/>
        </w:rPr>
        <w:t xml:space="preserve"> and type-2 configured grant</w:t>
      </w:r>
      <w:r w:rsidRPr="00C52D2C">
        <w:rPr>
          <w:rFonts w:ascii="Times New Roman" w:hAnsi="Times New Roman" w:cs="Times New Roman"/>
          <w:b/>
          <w:bCs/>
          <w:sz w:val="22"/>
        </w:rPr>
        <w:t>,</w:t>
      </w:r>
      <w:r>
        <w:rPr>
          <w:rFonts w:ascii="Times New Roman" w:hAnsi="Times New Roman" w:cs="Times New Roman"/>
          <w:b/>
          <w:bCs/>
          <w:sz w:val="22"/>
        </w:rPr>
        <w:t xml:space="preserve"> it’s </w:t>
      </w:r>
      <w:r w:rsidR="001E5BA9">
        <w:rPr>
          <w:rFonts w:ascii="Times New Roman" w:hAnsi="Times New Roman" w:cs="Times New Roman"/>
          <w:b/>
          <w:bCs/>
          <w:sz w:val="22"/>
        </w:rPr>
        <w:t>solely</w:t>
      </w:r>
      <w:r>
        <w:rPr>
          <w:rFonts w:ascii="Times New Roman" w:hAnsi="Times New Roman" w:cs="Times New Roman"/>
          <w:b/>
          <w:bCs/>
          <w:sz w:val="22"/>
        </w:rPr>
        <w:t xml:space="preserve"> based on RAN1’s design for indicating </w:t>
      </w:r>
      <w:r w:rsidRPr="00C52D2C">
        <w:rPr>
          <w:rFonts w:ascii="Times New Roman" w:hAnsi="Times New Roman" w:cs="Times New Roman"/>
          <w:b/>
          <w:bCs/>
          <w:sz w:val="22"/>
        </w:rPr>
        <w:t>PUCCH resource used for s</w:t>
      </w:r>
      <w:r>
        <w:rPr>
          <w:rFonts w:ascii="Times New Roman" w:hAnsi="Times New Roman" w:cs="Times New Roman"/>
          <w:b/>
          <w:bCs/>
          <w:sz w:val="22"/>
        </w:rPr>
        <w:t>idelink HARQ ACK/NACK report (e.g. based on DCI)</w:t>
      </w:r>
      <w:r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20418F1B" w14:textId="77777777" w:rsidR="00EF4E69" w:rsidRDefault="00EF4E69" w:rsidP="00EF4E69">
      <w:pPr>
        <w:ind w:left="993" w:hangingChars="451" w:hanging="99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Proposal: For type-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1 </w:t>
      </w:r>
      <w:r>
        <w:rPr>
          <w:rFonts w:ascii="Times New Roman" w:hAnsi="Times New Roman" w:cs="Times New Roman"/>
          <w:b/>
          <w:bCs/>
          <w:sz w:val="22"/>
        </w:rPr>
        <w:t>configured grant,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</w:rPr>
        <w:t>each CG configuration shall include timing offset and frequency information for determining PUCCH resource(s) for HARQ ACK/NACK report</w:t>
      </w:r>
      <w:r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266FD7E7" w14:textId="77777777" w:rsidR="00A662D5" w:rsidRPr="003360B2" w:rsidRDefault="00A662D5" w:rsidP="00A662D5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</w:p>
    <w:p w14:paraId="2BBA8E90" w14:textId="77777777"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EFBF564" w14:textId="77777777" w:rsidR="005F22E1" w:rsidRPr="005D45E4" w:rsidRDefault="00527CF1" w:rsidP="005D45E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5D45E4">
        <w:rPr>
          <w:rFonts w:ascii="Times New Roman" w:hAnsi="Times New Roman" w:cs="Times New Roman"/>
          <w:sz w:val="22"/>
        </w:rPr>
        <w:t>8.213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5D45E4" w:rsidRPr="005D45E4">
        <w:rPr>
          <w:rFonts w:ascii="Times New Roman" w:hAnsi="Times New Roman" w:cs="Times New Roman"/>
          <w:sz w:val="22"/>
        </w:rPr>
        <w:t>Physical layer procedures for control</w:t>
      </w:r>
      <w:r w:rsidRPr="00FE2E9F">
        <w:rPr>
          <w:rFonts w:ascii="Times New Roman" w:hAnsi="Times New Roman" w:cs="Times New Roman"/>
          <w:sz w:val="22"/>
        </w:rPr>
        <w:t>.</w:t>
      </w:r>
    </w:p>
    <w:sectPr w:rsidR="005F22E1" w:rsidRPr="005D45E4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ED612" w14:textId="77777777" w:rsidR="00482725" w:rsidRDefault="00482725" w:rsidP="006105B4">
      <w:r>
        <w:separator/>
      </w:r>
    </w:p>
  </w:endnote>
  <w:endnote w:type="continuationSeparator" w:id="0">
    <w:p w14:paraId="56BEAC0B" w14:textId="77777777" w:rsidR="00482725" w:rsidRDefault="00482725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9AEAF" w14:textId="77777777" w:rsidR="00482725" w:rsidRDefault="00482725" w:rsidP="006105B4">
      <w:r>
        <w:separator/>
      </w:r>
    </w:p>
  </w:footnote>
  <w:footnote w:type="continuationSeparator" w:id="0">
    <w:p w14:paraId="0713C545" w14:textId="77777777" w:rsidR="00482725" w:rsidRDefault="00482725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1EB1"/>
    <w:rsid w:val="0001281D"/>
    <w:rsid w:val="00032E92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6FE8"/>
    <w:rsid w:val="000E5352"/>
    <w:rsid w:val="000F458F"/>
    <w:rsid w:val="000F4B81"/>
    <w:rsid w:val="000F7B57"/>
    <w:rsid w:val="001105D5"/>
    <w:rsid w:val="0011174E"/>
    <w:rsid w:val="00114895"/>
    <w:rsid w:val="00117894"/>
    <w:rsid w:val="0015497A"/>
    <w:rsid w:val="00164366"/>
    <w:rsid w:val="00185DA7"/>
    <w:rsid w:val="00193AF2"/>
    <w:rsid w:val="0019436E"/>
    <w:rsid w:val="00197473"/>
    <w:rsid w:val="001B65B3"/>
    <w:rsid w:val="001C45CA"/>
    <w:rsid w:val="001C72BD"/>
    <w:rsid w:val="001C7B9E"/>
    <w:rsid w:val="001D0448"/>
    <w:rsid w:val="001D61B8"/>
    <w:rsid w:val="001D62A1"/>
    <w:rsid w:val="001D70A0"/>
    <w:rsid w:val="001E5BA9"/>
    <w:rsid w:val="002016CE"/>
    <w:rsid w:val="00213C40"/>
    <w:rsid w:val="00223DF2"/>
    <w:rsid w:val="002245CF"/>
    <w:rsid w:val="0022745C"/>
    <w:rsid w:val="00227A42"/>
    <w:rsid w:val="00227E0C"/>
    <w:rsid w:val="0023592B"/>
    <w:rsid w:val="002514C7"/>
    <w:rsid w:val="00252235"/>
    <w:rsid w:val="002575DF"/>
    <w:rsid w:val="002678C6"/>
    <w:rsid w:val="0027554B"/>
    <w:rsid w:val="00280EF6"/>
    <w:rsid w:val="002813C8"/>
    <w:rsid w:val="00282FF4"/>
    <w:rsid w:val="00283C87"/>
    <w:rsid w:val="00292DFE"/>
    <w:rsid w:val="00293699"/>
    <w:rsid w:val="00294304"/>
    <w:rsid w:val="002A2FE8"/>
    <w:rsid w:val="002A78B0"/>
    <w:rsid w:val="002C05D4"/>
    <w:rsid w:val="002C1718"/>
    <w:rsid w:val="002C56B4"/>
    <w:rsid w:val="002D26E6"/>
    <w:rsid w:val="002D334D"/>
    <w:rsid w:val="002D749D"/>
    <w:rsid w:val="002E5AB3"/>
    <w:rsid w:val="002E5EF1"/>
    <w:rsid w:val="002E7C3C"/>
    <w:rsid w:val="002F3526"/>
    <w:rsid w:val="00301F5C"/>
    <w:rsid w:val="00314DF8"/>
    <w:rsid w:val="003171CD"/>
    <w:rsid w:val="0032588D"/>
    <w:rsid w:val="003360B2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15246"/>
    <w:rsid w:val="00430492"/>
    <w:rsid w:val="00430520"/>
    <w:rsid w:val="00431964"/>
    <w:rsid w:val="00435A71"/>
    <w:rsid w:val="00443A12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25"/>
    <w:rsid w:val="00482752"/>
    <w:rsid w:val="00484573"/>
    <w:rsid w:val="004858C6"/>
    <w:rsid w:val="00490186"/>
    <w:rsid w:val="00490E92"/>
    <w:rsid w:val="00491A64"/>
    <w:rsid w:val="00493265"/>
    <w:rsid w:val="00493DF6"/>
    <w:rsid w:val="004A61FA"/>
    <w:rsid w:val="004A699F"/>
    <w:rsid w:val="004B1A82"/>
    <w:rsid w:val="004D30D6"/>
    <w:rsid w:val="004E25A8"/>
    <w:rsid w:val="004E3554"/>
    <w:rsid w:val="004E48B8"/>
    <w:rsid w:val="00500935"/>
    <w:rsid w:val="00502FA8"/>
    <w:rsid w:val="00526364"/>
    <w:rsid w:val="00527CF1"/>
    <w:rsid w:val="00536AE1"/>
    <w:rsid w:val="0054248B"/>
    <w:rsid w:val="005432B9"/>
    <w:rsid w:val="00553DF1"/>
    <w:rsid w:val="005637D8"/>
    <w:rsid w:val="00576A1B"/>
    <w:rsid w:val="00576C25"/>
    <w:rsid w:val="00576CF2"/>
    <w:rsid w:val="00580101"/>
    <w:rsid w:val="00585626"/>
    <w:rsid w:val="005A2565"/>
    <w:rsid w:val="005A47CE"/>
    <w:rsid w:val="005B5534"/>
    <w:rsid w:val="005D0C44"/>
    <w:rsid w:val="005D11FC"/>
    <w:rsid w:val="005D45E4"/>
    <w:rsid w:val="005D55AA"/>
    <w:rsid w:val="005D79D9"/>
    <w:rsid w:val="005E535E"/>
    <w:rsid w:val="005F178C"/>
    <w:rsid w:val="005F22E1"/>
    <w:rsid w:val="005F3CBB"/>
    <w:rsid w:val="005F4FB0"/>
    <w:rsid w:val="006105B4"/>
    <w:rsid w:val="00621025"/>
    <w:rsid w:val="0062445E"/>
    <w:rsid w:val="00626C6E"/>
    <w:rsid w:val="006272A0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4F80"/>
    <w:rsid w:val="00695FC1"/>
    <w:rsid w:val="006B2047"/>
    <w:rsid w:val="006B2C3A"/>
    <w:rsid w:val="006B5E49"/>
    <w:rsid w:val="006B61DB"/>
    <w:rsid w:val="006C4C37"/>
    <w:rsid w:val="006D01F8"/>
    <w:rsid w:val="006E2565"/>
    <w:rsid w:val="006E3F63"/>
    <w:rsid w:val="006F10C4"/>
    <w:rsid w:val="006F3075"/>
    <w:rsid w:val="006F4AED"/>
    <w:rsid w:val="00702606"/>
    <w:rsid w:val="00705B22"/>
    <w:rsid w:val="0071541F"/>
    <w:rsid w:val="00727CD4"/>
    <w:rsid w:val="00731CA3"/>
    <w:rsid w:val="00741D1D"/>
    <w:rsid w:val="007526FF"/>
    <w:rsid w:val="00763698"/>
    <w:rsid w:val="00766770"/>
    <w:rsid w:val="007729D8"/>
    <w:rsid w:val="00777927"/>
    <w:rsid w:val="00781E50"/>
    <w:rsid w:val="007831E3"/>
    <w:rsid w:val="00786389"/>
    <w:rsid w:val="007943D8"/>
    <w:rsid w:val="00796D11"/>
    <w:rsid w:val="007A19B0"/>
    <w:rsid w:val="007A7C2E"/>
    <w:rsid w:val="007C671C"/>
    <w:rsid w:val="007C7A77"/>
    <w:rsid w:val="007D3ACC"/>
    <w:rsid w:val="007F32F7"/>
    <w:rsid w:val="008214FD"/>
    <w:rsid w:val="008269DE"/>
    <w:rsid w:val="00834628"/>
    <w:rsid w:val="00836213"/>
    <w:rsid w:val="008466C6"/>
    <w:rsid w:val="00847EF5"/>
    <w:rsid w:val="00863DE0"/>
    <w:rsid w:val="0087377D"/>
    <w:rsid w:val="00883F88"/>
    <w:rsid w:val="00894472"/>
    <w:rsid w:val="008A350F"/>
    <w:rsid w:val="008C00C9"/>
    <w:rsid w:val="008C09F1"/>
    <w:rsid w:val="008E02B2"/>
    <w:rsid w:val="008E0B29"/>
    <w:rsid w:val="008E16DE"/>
    <w:rsid w:val="008F17C1"/>
    <w:rsid w:val="00902767"/>
    <w:rsid w:val="009039F7"/>
    <w:rsid w:val="0092043B"/>
    <w:rsid w:val="00923A5B"/>
    <w:rsid w:val="009254CE"/>
    <w:rsid w:val="009300F7"/>
    <w:rsid w:val="00931B82"/>
    <w:rsid w:val="00937248"/>
    <w:rsid w:val="00940DB1"/>
    <w:rsid w:val="009456B4"/>
    <w:rsid w:val="0095717F"/>
    <w:rsid w:val="0097394C"/>
    <w:rsid w:val="009820CB"/>
    <w:rsid w:val="009820F6"/>
    <w:rsid w:val="0098502E"/>
    <w:rsid w:val="00992953"/>
    <w:rsid w:val="009976A8"/>
    <w:rsid w:val="009A73C6"/>
    <w:rsid w:val="009B60BC"/>
    <w:rsid w:val="009B7EC4"/>
    <w:rsid w:val="009C1CD4"/>
    <w:rsid w:val="009C600A"/>
    <w:rsid w:val="009D0C09"/>
    <w:rsid w:val="009D4478"/>
    <w:rsid w:val="009E0F4A"/>
    <w:rsid w:val="009E2714"/>
    <w:rsid w:val="009F0E01"/>
    <w:rsid w:val="009F0F51"/>
    <w:rsid w:val="009F21D3"/>
    <w:rsid w:val="009F3151"/>
    <w:rsid w:val="009F4386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4B7D"/>
    <w:rsid w:val="00A46C45"/>
    <w:rsid w:val="00A55C89"/>
    <w:rsid w:val="00A60768"/>
    <w:rsid w:val="00A662D5"/>
    <w:rsid w:val="00A66371"/>
    <w:rsid w:val="00A84BCE"/>
    <w:rsid w:val="00AA0943"/>
    <w:rsid w:val="00AA703B"/>
    <w:rsid w:val="00AB22FA"/>
    <w:rsid w:val="00AC0C7F"/>
    <w:rsid w:val="00AC2A36"/>
    <w:rsid w:val="00AC3BA9"/>
    <w:rsid w:val="00AD0B88"/>
    <w:rsid w:val="00AD477C"/>
    <w:rsid w:val="00AE3EEC"/>
    <w:rsid w:val="00AF4D48"/>
    <w:rsid w:val="00AF5445"/>
    <w:rsid w:val="00B03AF4"/>
    <w:rsid w:val="00B109BA"/>
    <w:rsid w:val="00B11D49"/>
    <w:rsid w:val="00B11DA7"/>
    <w:rsid w:val="00B20377"/>
    <w:rsid w:val="00B232C4"/>
    <w:rsid w:val="00B2547B"/>
    <w:rsid w:val="00B376E2"/>
    <w:rsid w:val="00B434B3"/>
    <w:rsid w:val="00B749CE"/>
    <w:rsid w:val="00B83532"/>
    <w:rsid w:val="00BA49EB"/>
    <w:rsid w:val="00BB24CC"/>
    <w:rsid w:val="00BB3713"/>
    <w:rsid w:val="00BB5AC2"/>
    <w:rsid w:val="00BC66EC"/>
    <w:rsid w:val="00BD2AA5"/>
    <w:rsid w:val="00BE4104"/>
    <w:rsid w:val="00BF51AD"/>
    <w:rsid w:val="00C01659"/>
    <w:rsid w:val="00C10376"/>
    <w:rsid w:val="00C1101B"/>
    <w:rsid w:val="00C246C9"/>
    <w:rsid w:val="00C46B07"/>
    <w:rsid w:val="00C47A26"/>
    <w:rsid w:val="00C51BE8"/>
    <w:rsid w:val="00C52D2C"/>
    <w:rsid w:val="00C53795"/>
    <w:rsid w:val="00C53BA6"/>
    <w:rsid w:val="00C55341"/>
    <w:rsid w:val="00C643DE"/>
    <w:rsid w:val="00C658FB"/>
    <w:rsid w:val="00C70ADC"/>
    <w:rsid w:val="00C776B8"/>
    <w:rsid w:val="00C91920"/>
    <w:rsid w:val="00C956BE"/>
    <w:rsid w:val="00C97050"/>
    <w:rsid w:val="00C972A1"/>
    <w:rsid w:val="00CA4CD8"/>
    <w:rsid w:val="00CB3F85"/>
    <w:rsid w:val="00CB60A7"/>
    <w:rsid w:val="00CC4E1F"/>
    <w:rsid w:val="00CC7AC2"/>
    <w:rsid w:val="00CE081D"/>
    <w:rsid w:val="00CE0872"/>
    <w:rsid w:val="00CF7113"/>
    <w:rsid w:val="00D02B4C"/>
    <w:rsid w:val="00D14326"/>
    <w:rsid w:val="00D27363"/>
    <w:rsid w:val="00D33832"/>
    <w:rsid w:val="00D42E0B"/>
    <w:rsid w:val="00D4713E"/>
    <w:rsid w:val="00D621BF"/>
    <w:rsid w:val="00D662B8"/>
    <w:rsid w:val="00D71BA4"/>
    <w:rsid w:val="00D76415"/>
    <w:rsid w:val="00D77B96"/>
    <w:rsid w:val="00D81377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D66A8"/>
    <w:rsid w:val="00DE010D"/>
    <w:rsid w:val="00DE193A"/>
    <w:rsid w:val="00DE6200"/>
    <w:rsid w:val="00DE67E1"/>
    <w:rsid w:val="00DF15DF"/>
    <w:rsid w:val="00E07866"/>
    <w:rsid w:val="00E12D78"/>
    <w:rsid w:val="00E20F0C"/>
    <w:rsid w:val="00E22B09"/>
    <w:rsid w:val="00E26B0B"/>
    <w:rsid w:val="00E326EE"/>
    <w:rsid w:val="00E3323C"/>
    <w:rsid w:val="00E36042"/>
    <w:rsid w:val="00E444D2"/>
    <w:rsid w:val="00E44F0E"/>
    <w:rsid w:val="00E6693F"/>
    <w:rsid w:val="00E67622"/>
    <w:rsid w:val="00E75D8D"/>
    <w:rsid w:val="00E82ED4"/>
    <w:rsid w:val="00E838CF"/>
    <w:rsid w:val="00E91862"/>
    <w:rsid w:val="00EA3F53"/>
    <w:rsid w:val="00EA44B2"/>
    <w:rsid w:val="00EA6D48"/>
    <w:rsid w:val="00EB2B6F"/>
    <w:rsid w:val="00EB667D"/>
    <w:rsid w:val="00EB7434"/>
    <w:rsid w:val="00EB7728"/>
    <w:rsid w:val="00ED2B61"/>
    <w:rsid w:val="00ED4393"/>
    <w:rsid w:val="00EE3BAB"/>
    <w:rsid w:val="00EF09C7"/>
    <w:rsid w:val="00EF4E69"/>
    <w:rsid w:val="00EF71C5"/>
    <w:rsid w:val="00F042DD"/>
    <w:rsid w:val="00F06115"/>
    <w:rsid w:val="00F06255"/>
    <w:rsid w:val="00F104D3"/>
    <w:rsid w:val="00F12FEC"/>
    <w:rsid w:val="00F26017"/>
    <w:rsid w:val="00F26B48"/>
    <w:rsid w:val="00F4778F"/>
    <w:rsid w:val="00F57884"/>
    <w:rsid w:val="00F6689E"/>
    <w:rsid w:val="00F708B0"/>
    <w:rsid w:val="00F83666"/>
    <w:rsid w:val="00F9150D"/>
    <w:rsid w:val="00FA2616"/>
    <w:rsid w:val="00FB6D32"/>
    <w:rsid w:val="00FC5609"/>
    <w:rsid w:val="00FD298F"/>
    <w:rsid w:val="00FE1926"/>
    <w:rsid w:val="00FE281D"/>
    <w:rsid w:val="00FE2E9F"/>
    <w:rsid w:val="00FE70F4"/>
    <w:rsid w:val="00FF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967AA6"/>
  <w15:docId w15:val="{B5D37946-8743-42A0-9146-552BBD2F4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aliases w:val="- Bullets,목록 단락,リスト段落,列出段落,?? ??,?????,????,Lista1,列出段落1,中等深浅网格 1 - 着色 21,列表段落"/>
    <w:basedOn w:val="a"/>
    <w:link w:val="a5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6">
    <w:name w:val="header"/>
    <w:basedOn w:val="a"/>
    <w:link w:val="a7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105B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105B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"/>
    <w:link w:val="a4"/>
    <w:uiPriority w:val="34"/>
    <w:qFormat/>
    <w:rsid w:val="00576C25"/>
  </w:style>
  <w:style w:type="character" w:styleId="ac">
    <w:name w:val="annotation reference"/>
    <w:basedOn w:val="a0"/>
    <w:uiPriority w:val="99"/>
    <w:semiHidden/>
    <w:unhideWhenUsed/>
    <w:rsid w:val="002678C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678C6"/>
  </w:style>
  <w:style w:type="character" w:customStyle="1" w:styleId="ae">
    <w:name w:val="註解文字 字元"/>
    <w:basedOn w:val="a0"/>
    <w:link w:val="ad"/>
    <w:uiPriority w:val="99"/>
    <w:semiHidden/>
    <w:rsid w:val="002678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2678C6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2678C6"/>
    <w:rPr>
      <w:b/>
      <w:bCs/>
    </w:rPr>
  </w:style>
  <w:style w:type="paragraph" w:styleId="af1">
    <w:name w:val="Revision"/>
    <w:hidden/>
    <w:uiPriority w:val="99"/>
    <w:semiHidden/>
    <w:rsid w:val="0026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3380-21D8-4C6A-A35C-08D235B37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 Pan</cp:lastModifiedBy>
  <cp:revision>2</cp:revision>
  <dcterms:created xsi:type="dcterms:W3CDTF">2019-11-08T02:30:00Z</dcterms:created>
  <dcterms:modified xsi:type="dcterms:W3CDTF">2019-11-08T02:30:00Z</dcterms:modified>
</cp:coreProperties>
</file>